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C1D" w:rsidRDefault="00415769" w:rsidP="00AF4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rPr>
          <w:b/>
          <w:sz w:val="28"/>
          <w:szCs w:val="28"/>
        </w:rPr>
      </w:pPr>
      <w:proofErr w:type="spellStart"/>
      <w:r w:rsidRPr="00817C1D">
        <w:rPr>
          <w:b/>
          <w:sz w:val="28"/>
          <w:szCs w:val="28"/>
        </w:rPr>
        <w:t>Factsheet</w:t>
      </w:r>
      <w:proofErr w:type="spellEnd"/>
      <w:r w:rsidRPr="00817C1D">
        <w:rPr>
          <w:b/>
          <w:sz w:val="28"/>
          <w:szCs w:val="28"/>
        </w:rPr>
        <w:t xml:space="preserve"> </w:t>
      </w:r>
      <w:r w:rsidR="00817C1D" w:rsidRPr="00817C1D">
        <w:rPr>
          <w:b/>
          <w:sz w:val="28"/>
          <w:szCs w:val="28"/>
        </w:rPr>
        <w:t>–</w:t>
      </w:r>
      <w:r w:rsidRPr="00817C1D">
        <w:rPr>
          <w:b/>
          <w:sz w:val="28"/>
          <w:szCs w:val="28"/>
        </w:rPr>
        <w:t xml:space="preserve"> </w:t>
      </w:r>
      <w:r w:rsidR="00817C1D" w:rsidRPr="00817C1D">
        <w:rPr>
          <w:b/>
          <w:sz w:val="28"/>
          <w:szCs w:val="28"/>
        </w:rPr>
        <w:t xml:space="preserve">Bevolkingsprognose </w:t>
      </w:r>
      <w:r w:rsidR="00470F97" w:rsidRPr="00817C1D">
        <w:rPr>
          <w:b/>
          <w:sz w:val="28"/>
          <w:szCs w:val="28"/>
        </w:rPr>
        <w:t xml:space="preserve">Deventer </w:t>
      </w:r>
      <w:r w:rsidR="00D7586E" w:rsidRPr="00817C1D">
        <w:rPr>
          <w:b/>
          <w:sz w:val="28"/>
          <w:szCs w:val="28"/>
        </w:rPr>
        <w:t>201</w:t>
      </w:r>
      <w:r w:rsidR="00817C1D" w:rsidRPr="00817C1D">
        <w:rPr>
          <w:b/>
          <w:sz w:val="28"/>
          <w:szCs w:val="28"/>
        </w:rPr>
        <w:t>7</w:t>
      </w:r>
    </w:p>
    <w:p w:rsidR="00817C1D" w:rsidRPr="00817C1D" w:rsidRDefault="00817C1D" w:rsidP="00AF4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rPr>
          <w:b/>
          <w:sz w:val="28"/>
          <w:szCs w:val="28"/>
        </w:rPr>
      </w:pPr>
      <w:r>
        <w:rPr>
          <w:b/>
          <w:sz w:val="28"/>
          <w:szCs w:val="28"/>
        </w:rPr>
        <w:t>Ontwikkeling bevolking totaal en naar leeftijdsgroepen</w:t>
      </w:r>
    </w:p>
    <w:p w:rsidR="00470F97" w:rsidRDefault="00470F97"/>
    <w:p w:rsidR="00817C1D" w:rsidRDefault="00817C1D"/>
    <w:p w:rsidR="00190E6D" w:rsidRPr="00460E53" w:rsidRDefault="00817C1D">
      <w:pPr>
        <w:rPr>
          <w:b/>
          <w:i/>
          <w:sz w:val="22"/>
          <w:szCs w:val="22"/>
        </w:rPr>
      </w:pPr>
      <w:r w:rsidRPr="00460E53">
        <w:rPr>
          <w:b/>
          <w:i/>
          <w:sz w:val="22"/>
          <w:szCs w:val="22"/>
        </w:rPr>
        <w:t>Resultaten trendprognose Deventer 2017</w:t>
      </w:r>
    </w:p>
    <w:p w:rsidR="00AD4B40" w:rsidRDefault="00460E53">
      <w:pPr>
        <w:rPr>
          <w:i/>
        </w:rPr>
      </w:pPr>
      <w:r>
        <w:rPr>
          <w:i/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3810</wp:posOffset>
            </wp:positionV>
            <wp:extent cx="5151120" cy="2750820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120" cy="2750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B40">
        <w:rPr>
          <w:i/>
        </w:rPr>
        <w:t>Trendprognose – bovenkant bandbreedte</w:t>
      </w:r>
    </w:p>
    <w:p w:rsidR="00707F33" w:rsidRPr="00381494" w:rsidRDefault="00197413" w:rsidP="00381494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945"/>
        <w:rPr>
          <w:i/>
        </w:rPr>
      </w:pPr>
      <w:r>
        <w:rPr>
          <w:i/>
        </w:rPr>
        <w:t xml:space="preserve">gemeentelijke trendprognose </w:t>
      </w:r>
      <w:r w:rsidR="00381494">
        <w:rPr>
          <w:i/>
        </w:rPr>
        <w:t>o</w:t>
      </w:r>
      <w:r w:rsidR="001106A8">
        <w:rPr>
          <w:i/>
        </w:rPr>
        <w:t xml:space="preserve">p basis van </w:t>
      </w:r>
      <w:r w:rsidR="006C5D89">
        <w:rPr>
          <w:i/>
        </w:rPr>
        <w:t xml:space="preserve">bevolkingsontwikkelingen van </w:t>
      </w:r>
      <w:r w:rsidR="00D419A6">
        <w:rPr>
          <w:i/>
        </w:rPr>
        <w:t>de</w:t>
      </w:r>
      <w:r w:rsidR="00381494">
        <w:rPr>
          <w:i/>
        </w:rPr>
        <w:t xml:space="preserve"> afgelopen </w:t>
      </w:r>
      <w:r>
        <w:rPr>
          <w:i/>
        </w:rPr>
        <w:t>10 jaar</w:t>
      </w:r>
      <w:r w:rsidR="00AD4B40">
        <w:rPr>
          <w:i/>
        </w:rPr>
        <w:t xml:space="preserve"> </w:t>
      </w:r>
      <w:r w:rsidRPr="00381494">
        <w:rPr>
          <w:i/>
        </w:rPr>
        <w:t xml:space="preserve"> </w:t>
      </w:r>
    </w:p>
    <w:p w:rsidR="00197413" w:rsidRDefault="00197413" w:rsidP="00197413">
      <w:pPr>
        <w:pStyle w:val="Lijstalinea"/>
        <w:ind w:left="3945"/>
        <w:rPr>
          <w:i/>
        </w:rPr>
      </w:pPr>
    </w:p>
    <w:p w:rsidR="00AD4B40" w:rsidRPr="00197413" w:rsidRDefault="00AD4B40" w:rsidP="00197413">
      <w:pPr>
        <w:pStyle w:val="Lijstalinea"/>
        <w:ind w:left="3945"/>
        <w:rPr>
          <w:i/>
        </w:rPr>
      </w:pPr>
      <w:r>
        <w:rPr>
          <w:i/>
        </w:rPr>
        <w:t>Trendprognose – onderkant bandbreedte</w:t>
      </w:r>
    </w:p>
    <w:p w:rsidR="00197413" w:rsidRDefault="00197413" w:rsidP="00C75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i/>
        </w:rPr>
        <w:t xml:space="preserve">gemeentelijke trendprognose </w:t>
      </w:r>
      <w:r w:rsidR="00D419A6">
        <w:rPr>
          <w:i/>
        </w:rPr>
        <w:t xml:space="preserve">op basis van </w:t>
      </w:r>
      <w:r w:rsidR="006C5D89">
        <w:rPr>
          <w:i/>
        </w:rPr>
        <w:t xml:space="preserve">bevolkingsontwikkelingen van de  </w:t>
      </w:r>
      <w:r w:rsidR="00381494">
        <w:rPr>
          <w:i/>
        </w:rPr>
        <w:t xml:space="preserve">afgelopen 5 </w:t>
      </w:r>
      <w:r>
        <w:rPr>
          <w:i/>
        </w:rPr>
        <w:t xml:space="preserve"> jaar</w:t>
      </w:r>
    </w:p>
    <w:p w:rsidR="00190E6D" w:rsidRDefault="00190E6D">
      <w:pPr>
        <w:rPr>
          <w:i/>
        </w:rPr>
      </w:pPr>
    </w:p>
    <w:p w:rsidR="00460E53" w:rsidRPr="00197413" w:rsidRDefault="00460E53" w:rsidP="00460E53">
      <w:pPr>
        <w:pStyle w:val="Lijstalinea"/>
        <w:ind w:left="3945"/>
        <w:rPr>
          <w:i/>
        </w:rPr>
      </w:pPr>
      <w:r>
        <w:rPr>
          <w:i/>
        </w:rPr>
        <w:t>Korte termijn prognose</w:t>
      </w:r>
    </w:p>
    <w:p w:rsidR="00460E53" w:rsidRDefault="00460E53" w:rsidP="00460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i/>
        </w:rPr>
        <w:t xml:space="preserve">Op basis van de bevolkingsontwikkelingen van het afgelopen jaar  </w:t>
      </w:r>
    </w:p>
    <w:p w:rsidR="00460E53" w:rsidRDefault="00460E53" w:rsidP="009529F6">
      <w:pPr>
        <w:rPr>
          <w:b/>
          <w:sz w:val="24"/>
          <w:szCs w:val="24"/>
        </w:rPr>
      </w:pPr>
    </w:p>
    <w:p w:rsidR="009529F6" w:rsidRPr="00460E53" w:rsidRDefault="00AF4AA1" w:rsidP="009529F6">
      <w:pPr>
        <w:rPr>
          <w:b/>
          <w:i/>
          <w:sz w:val="22"/>
          <w:szCs w:val="22"/>
        </w:rPr>
      </w:pPr>
      <w:r w:rsidRPr="00460E53">
        <w:rPr>
          <w:b/>
          <w:i/>
          <w:noProof/>
        </w:rPr>
        <w:drawing>
          <wp:anchor distT="0" distB="0" distL="114300" distR="114300" simplePos="0" relativeHeight="251675648" behindDoc="0" locked="0" layoutInCell="1" allowOverlap="1" wp14:anchorId="01D9FDCC" wp14:editId="22EA2E23">
            <wp:simplePos x="0" y="0"/>
            <wp:positionH relativeFrom="column">
              <wp:posOffset>-4445</wp:posOffset>
            </wp:positionH>
            <wp:positionV relativeFrom="paragraph">
              <wp:posOffset>161925</wp:posOffset>
            </wp:positionV>
            <wp:extent cx="4392930" cy="2638425"/>
            <wp:effectExtent l="0" t="0" r="0" b="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930" cy="2638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7C1D" w:rsidRPr="00460E53">
        <w:rPr>
          <w:b/>
          <w:i/>
          <w:sz w:val="22"/>
          <w:szCs w:val="22"/>
        </w:rPr>
        <w:t>Toe-/afname bevolking naar leeftijd 2017-2035</w:t>
      </w:r>
    </w:p>
    <w:p w:rsidR="009529F6" w:rsidRDefault="009529F6">
      <w:pPr>
        <w:rPr>
          <w:i/>
        </w:rPr>
      </w:pPr>
    </w:p>
    <w:p w:rsidR="009529F6" w:rsidRDefault="009529F6">
      <w:pPr>
        <w:rPr>
          <w:i/>
        </w:rPr>
      </w:pPr>
    </w:p>
    <w:p w:rsidR="009529F6" w:rsidRDefault="009529F6">
      <w:pPr>
        <w:rPr>
          <w:b/>
          <w:sz w:val="24"/>
          <w:szCs w:val="24"/>
        </w:rPr>
      </w:pPr>
    </w:p>
    <w:p w:rsidR="00817C1D" w:rsidRDefault="00817C1D">
      <w:pPr>
        <w:rPr>
          <w:b/>
          <w:sz w:val="24"/>
          <w:szCs w:val="24"/>
        </w:rPr>
      </w:pPr>
    </w:p>
    <w:p w:rsidR="00817C1D" w:rsidRDefault="00817C1D">
      <w:pPr>
        <w:rPr>
          <w:b/>
          <w:sz w:val="24"/>
          <w:szCs w:val="24"/>
        </w:rPr>
      </w:pPr>
    </w:p>
    <w:p w:rsidR="00817C1D" w:rsidRDefault="00817C1D">
      <w:pPr>
        <w:rPr>
          <w:b/>
          <w:sz w:val="24"/>
          <w:szCs w:val="24"/>
        </w:rPr>
      </w:pPr>
    </w:p>
    <w:p w:rsidR="00817C1D" w:rsidRDefault="00817C1D">
      <w:pPr>
        <w:rPr>
          <w:b/>
          <w:sz w:val="24"/>
          <w:szCs w:val="24"/>
        </w:rPr>
      </w:pPr>
    </w:p>
    <w:p w:rsidR="00817C1D" w:rsidRDefault="00817C1D">
      <w:pPr>
        <w:rPr>
          <w:b/>
          <w:sz w:val="24"/>
          <w:szCs w:val="24"/>
        </w:rPr>
      </w:pPr>
    </w:p>
    <w:p w:rsidR="00817C1D" w:rsidRDefault="00817C1D">
      <w:pPr>
        <w:rPr>
          <w:b/>
          <w:sz w:val="24"/>
          <w:szCs w:val="24"/>
        </w:rPr>
      </w:pPr>
    </w:p>
    <w:p w:rsidR="00AF4AA1" w:rsidRDefault="00AF4AA1">
      <w:pPr>
        <w:rPr>
          <w:b/>
          <w:sz w:val="24"/>
          <w:szCs w:val="24"/>
        </w:rPr>
      </w:pPr>
    </w:p>
    <w:p w:rsidR="00857BC6" w:rsidRDefault="00857BC6">
      <w:pPr>
        <w:rPr>
          <w:b/>
          <w:sz w:val="24"/>
          <w:szCs w:val="24"/>
        </w:rPr>
      </w:pPr>
    </w:p>
    <w:p w:rsidR="00757D34" w:rsidRDefault="00EE2B35" w:rsidP="00AF4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rPr>
          <w:sz w:val="22"/>
          <w:szCs w:val="22"/>
        </w:rPr>
      </w:pPr>
      <w:r>
        <w:rPr>
          <w:sz w:val="22"/>
          <w:szCs w:val="22"/>
        </w:rPr>
        <w:t>Het doortrekken van trend</w:t>
      </w:r>
      <w:r w:rsidR="00317109">
        <w:rPr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 w:rsidR="008617F6">
        <w:rPr>
          <w:sz w:val="22"/>
          <w:szCs w:val="22"/>
        </w:rPr>
        <w:t xml:space="preserve">laat een </w:t>
      </w:r>
      <w:r>
        <w:rPr>
          <w:sz w:val="22"/>
          <w:szCs w:val="22"/>
        </w:rPr>
        <w:t>doorgroei</w:t>
      </w:r>
      <w:r w:rsidR="008617F6">
        <w:rPr>
          <w:sz w:val="22"/>
          <w:szCs w:val="22"/>
        </w:rPr>
        <w:t xml:space="preserve"> zien </w:t>
      </w:r>
      <w:r>
        <w:rPr>
          <w:sz w:val="22"/>
          <w:szCs w:val="22"/>
        </w:rPr>
        <w:t>naar 10</w:t>
      </w:r>
      <w:r w:rsidR="006C5D89">
        <w:rPr>
          <w:sz w:val="22"/>
          <w:szCs w:val="22"/>
        </w:rPr>
        <w:t>0</w:t>
      </w:r>
      <w:r>
        <w:rPr>
          <w:sz w:val="22"/>
          <w:szCs w:val="22"/>
        </w:rPr>
        <w:t xml:space="preserve">.000 inwoners. </w:t>
      </w:r>
      <w:r w:rsidR="008617F6">
        <w:rPr>
          <w:sz w:val="22"/>
          <w:szCs w:val="22"/>
        </w:rPr>
        <w:t xml:space="preserve">De korte termijn prognose (stippellijn) voorspelt dat dit aantal medio 2018 voor het eerst </w:t>
      </w:r>
      <w:r w:rsidR="006F41EB">
        <w:rPr>
          <w:sz w:val="22"/>
          <w:szCs w:val="22"/>
        </w:rPr>
        <w:t>wordt</w:t>
      </w:r>
      <w:r w:rsidR="008617F6">
        <w:rPr>
          <w:sz w:val="22"/>
          <w:szCs w:val="22"/>
        </w:rPr>
        <w:t xml:space="preserve"> aangetikt. Ook d</w:t>
      </w:r>
      <w:r>
        <w:rPr>
          <w:sz w:val="22"/>
          <w:szCs w:val="22"/>
        </w:rPr>
        <w:t xml:space="preserve">e </w:t>
      </w:r>
      <w:r w:rsidR="00E24485">
        <w:rPr>
          <w:sz w:val="22"/>
          <w:szCs w:val="22"/>
        </w:rPr>
        <w:t>10</w:t>
      </w:r>
      <w:r>
        <w:rPr>
          <w:sz w:val="22"/>
          <w:szCs w:val="22"/>
        </w:rPr>
        <w:t xml:space="preserve">-jaars trendprognose voorspelt dat de Deventer bevolking </w:t>
      </w:r>
      <w:r w:rsidR="008617F6">
        <w:rPr>
          <w:sz w:val="22"/>
          <w:szCs w:val="22"/>
        </w:rPr>
        <w:t xml:space="preserve">op den duur </w:t>
      </w:r>
      <w:r w:rsidR="00E24485">
        <w:rPr>
          <w:sz w:val="22"/>
          <w:szCs w:val="22"/>
        </w:rPr>
        <w:t xml:space="preserve">boven </w:t>
      </w:r>
      <w:r>
        <w:rPr>
          <w:sz w:val="22"/>
          <w:szCs w:val="22"/>
        </w:rPr>
        <w:t xml:space="preserve">de 100.000 inwoners zal </w:t>
      </w:r>
      <w:r w:rsidR="00E24485">
        <w:rPr>
          <w:sz w:val="22"/>
          <w:szCs w:val="22"/>
        </w:rPr>
        <w:t xml:space="preserve">groeien. De 5-jaars trendprognose tikt de 100.000 inwonersgrens </w:t>
      </w:r>
      <w:r w:rsidR="006F41EB">
        <w:rPr>
          <w:sz w:val="22"/>
          <w:szCs w:val="22"/>
        </w:rPr>
        <w:t xml:space="preserve">later </w:t>
      </w:r>
      <w:r w:rsidR="00E24485">
        <w:rPr>
          <w:sz w:val="22"/>
          <w:szCs w:val="22"/>
        </w:rPr>
        <w:t xml:space="preserve">aan en </w:t>
      </w:r>
      <w:r w:rsidR="006F41EB">
        <w:rPr>
          <w:sz w:val="22"/>
          <w:szCs w:val="22"/>
        </w:rPr>
        <w:t xml:space="preserve">voorspelt </w:t>
      </w:r>
      <w:r w:rsidR="00E24485">
        <w:rPr>
          <w:sz w:val="22"/>
          <w:szCs w:val="22"/>
        </w:rPr>
        <w:t xml:space="preserve">op de langere termijn </w:t>
      </w:r>
      <w:r w:rsidR="006F41EB">
        <w:rPr>
          <w:sz w:val="22"/>
          <w:szCs w:val="22"/>
        </w:rPr>
        <w:t>een daling</w:t>
      </w:r>
      <w:r w:rsidR="00E24485">
        <w:rPr>
          <w:sz w:val="22"/>
          <w:szCs w:val="22"/>
        </w:rPr>
        <w:t xml:space="preserve">. </w:t>
      </w:r>
      <w:r w:rsidR="00DF1CB7">
        <w:rPr>
          <w:sz w:val="22"/>
          <w:szCs w:val="22"/>
        </w:rPr>
        <w:t xml:space="preserve">Deze </w:t>
      </w:r>
      <w:r w:rsidR="008617F6">
        <w:rPr>
          <w:sz w:val="22"/>
          <w:szCs w:val="22"/>
        </w:rPr>
        <w:t xml:space="preserve">laatste </w:t>
      </w:r>
      <w:r w:rsidR="00DF1CB7">
        <w:rPr>
          <w:sz w:val="22"/>
          <w:szCs w:val="22"/>
        </w:rPr>
        <w:t>twee trendprognoses vormen de boven- en onderkant van de bandbreedte van de gemeentelijke bevolkingsprognose</w:t>
      </w:r>
      <w:r w:rsidR="00190E6D">
        <w:rPr>
          <w:sz w:val="22"/>
          <w:szCs w:val="22"/>
        </w:rPr>
        <w:t xml:space="preserve"> en word</w:t>
      </w:r>
      <w:r w:rsidR="002B0E61">
        <w:rPr>
          <w:sz w:val="22"/>
          <w:szCs w:val="22"/>
        </w:rPr>
        <w:t xml:space="preserve">en </w:t>
      </w:r>
      <w:r w:rsidR="006F41EB">
        <w:rPr>
          <w:sz w:val="22"/>
          <w:szCs w:val="22"/>
        </w:rPr>
        <w:t xml:space="preserve">geacht </w:t>
      </w:r>
      <w:r w:rsidR="00190E6D">
        <w:rPr>
          <w:sz w:val="22"/>
          <w:szCs w:val="22"/>
        </w:rPr>
        <w:t>de best voorspellende waarde</w:t>
      </w:r>
      <w:r w:rsidR="006F41EB">
        <w:rPr>
          <w:sz w:val="22"/>
          <w:szCs w:val="22"/>
        </w:rPr>
        <w:t xml:space="preserve"> te hebben</w:t>
      </w:r>
      <w:r w:rsidR="00DF1CB7">
        <w:rPr>
          <w:sz w:val="22"/>
          <w:szCs w:val="22"/>
        </w:rPr>
        <w:t xml:space="preserve">. </w:t>
      </w:r>
      <w:r w:rsidR="0030451E">
        <w:rPr>
          <w:sz w:val="22"/>
          <w:szCs w:val="22"/>
        </w:rPr>
        <w:t xml:space="preserve">De komende jaren zal de ontgroening (afnemend aandeel jongeren) ook in Deventer verder doorzetten. De vergrijzing zal verder doorzetten </w:t>
      </w:r>
      <w:r w:rsidR="006F41EB">
        <w:rPr>
          <w:sz w:val="22"/>
          <w:szCs w:val="22"/>
        </w:rPr>
        <w:t xml:space="preserve">in </w:t>
      </w:r>
      <w:r w:rsidR="0030451E">
        <w:rPr>
          <w:sz w:val="22"/>
          <w:szCs w:val="22"/>
        </w:rPr>
        <w:t>de komende jaren. De komende 20 jaren zal het aantal oude</w:t>
      </w:r>
      <w:bookmarkStart w:id="0" w:name="_GoBack"/>
      <w:bookmarkEnd w:id="0"/>
      <w:r w:rsidR="0030451E">
        <w:rPr>
          <w:sz w:val="22"/>
          <w:szCs w:val="22"/>
        </w:rPr>
        <w:t>ren met 50% toenemen.</w:t>
      </w:r>
      <w:r w:rsidR="005F5FAA">
        <w:rPr>
          <w:sz w:val="22"/>
          <w:szCs w:val="22"/>
        </w:rPr>
        <w:t xml:space="preserve"> </w:t>
      </w:r>
    </w:p>
    <w:sectPr w:rsidR="00757D34" w:rsidSect="00BF3FF3">
      <w:pgSz w:w="16838" w:h="11906" w:orient="landscape"/>
      <w:pgMar w:top="737" w:right="851" w:bottom="737" w:left="851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30F5"/>
    <w:multiLevelType w:val="hybridMultilevel"/>
    <w:tmpl w:val="CBDA19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A0DBB"/>
    <w:multiLevelType w:val="multilevel"/>
    <w:tmpl w:val="9406146E"/>
    <w:styleLink w:val="VinkjeAan"/>
    <w:lvl w:ilvl="0">
      <w:start w:val="1"/>
      <w:numFmt w:val="bullet"/>
      <w:lvlText w:val=""/>
      <w:lvlJc w:val="left"/>
      <w:pPr>
        <w:tabs>
          <w:tab w:val="num" w:pos="357"/>
        </w:tabs>
        <w:ind w:left="357" w:hanging="357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B33C93"/>
    <w:multiLevelType w:val="hybridMultilevel"/>
    <w:tmpl w:val="7D1ACB08"/>
    <w:lvl w:ilvl="0" w:tplc="4CB8AB20">
      <w:numFmt w:val="bullet"/>
      <w:lvlText w:val="-"/>
      <w:lvlJc w:val="left"/>
      <w:pPr>
        <w:ind w:left="3945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3">
    <w:nsid w:val="27DD79DE"/>
    <w:multiLevelType w:val="multilevel"/>
    <w:tmpl w:val="2C9CE664"/>
    <w:styleLink w:val="VinkjeUit"/>
    <w:lvl w:ilvl="0">
      <w:start w:val="1"/>
      <w:numFmt w:val="bullet"/>
      <w:lvlText w:val=""/>
      <w:lvlJc w:val="left"/>
      <w:pPr>
        <w:tabs>
          <w:tab w:val="num" w:pos="357"/>
        </w:tabs>
        <w:ind w:left="357" w:hanging="357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97522F"/>
    <w:multiLevelType w:val="hybridMultilevel"/>
    <w:tmpl w:val="2C7E31C8"/>
    <w:lvl w:ilvl="0" w:tplc="0413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5">
    <w:nsid w:val="5A512908"/>
    <w:multiLevelType w:val="hybridMultilevel"/>
    <w:tmpl w:val="24843F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2"/>
  </w:compat>
  <w:rsids>
    <w:rsidRoot w:val="00470F97"/>
    <w:rsid w:val="00035BB8"/>
    <w:rsid w:val="00083DB1"/>
    <w:rsid w:val="00093C09"/>
    <w:rsid w:val="00095671"/>
    <w:rsid w:val="000A1339"/>
    <w:rsid w:val="000A53A1"/>
    <w:rsid w:val="000A5662"/>
    <w:rsid w:val="000E6E00"/>
    <w:rsid w:val="000F66E3"/>
    <w:rsid w:val="000F6A2C"/>
    <w:rsid w:val="001106A8"/>
    <w:rsid w:val="001456F6"/>
    <w:rsid w:val="001505FC"/>
    <w:rsid w:val="00152FDF"/>
    <w:rsid w:val="00161675"/>
    <w:rsid w:val="00190E6D"/>
    <w:rsid w:val="0019704C"/>
    <w:rsid w:val="00197413"/>
    <w:rsid w:val="001A171D"/>
    <w:rsid w:val="001C6E6B"/>
    <w:rsid w:val="001D5F6C"/>
    <w:rsid w:val="00223FA7"/>
    <w:rsid w:val="00236957"/>
    <w:rsid w:val="002430D1"/>
    <w:rsid w:val="002474FD"/>
    <w:rsid w:val="00247579"/>
    <w:rsid w:val="00255CED"/>
    <w:rsid w:val="00256750"/>
    <w:rsid w:val="00291308"/>
    <w:rsid w:val="002A55D1"/>
    <w:rsid w:val="002A6B40"/>
    <w:rsid w:val="002B0E61"/>
    <w:rsid w:val="002D50A1"/>
    <w:rsid w:val="0030451E"/>
    <w:rsid w:val="00317109"/>
    <w:rsid w:val="003411C8"/>
    <w:rsid w:val="00356684"/>
    <w:rsid w:val="00361062"/>
    <w:rsid w:val="00373F22"/>
    <w:rsid w:val="00381494"/>
    <w:rsid w:val="00390AE0"/>
    <w:rsid w:val="003A7D5F"/>
    <w:rsid w:val="003C05C0"/>
    <w:rsid w:val="003F4BD9"/>
    <w:rsid w:val="00415769"/>
    <w:rsid w:val="00422690"/>
    <w:rsid w:val="004271BF"/>
    <w:rsid w:val="00431D3E"/>
    <w:rsid w:val="004431D1"/>
    <w:rsid w:val="00460E53"/>
    <w:rsid w:val="0046766F"/>
    <w:rsid w:val="00470F97"/>
    <w:rsid w:val="0049504D"/>
    <w:rsid w:val="00496374"/>
    <w:rsid w:val="004A27F9"/>
    <w:rsid w:val="004B184A"/>
    <w:rsid w:val="004B256F"/>
    <w:rsid w:val="004B32BA"/>
    <w:rsid w:val="004D1E7F"/>
    <w:rsid w:val="004E7873"/>
    <w:rsid w:val="004F5786"/>
    <w:rsid w:val="0051790C"/>
    <w:rsid w:val="00532F3E"/>
    <w:rsid w:val="00547940"/>
    <w:rsid w:val="00566C95"/>
    <w:rsid w:val="00570676"/>
    <w:rsid w:val="00575D5A"/>
    <w:rsid w:val="005A12BC"/>
    <w:rsid w:val="005C1F22"/>
    <w:rsid w:val="005C5995"/>
    <w:rsid w:val="005C7EFD"/>
    <w:rsid w:val="005E5DCF"/>
    <w:rsid w:val="005F5FAA"/>
    <w:rsid w:val="00610365"/>
    <w:rsid w:val="00612518"/>
    <w:rsid w:val="006265A0"/>
    <w:rsid w:val="00631F1E"/>
    <w:rsid w:val="0066090B"/>
    <w:rsid w:val="00675005"/>
    <w:rsid w:val="00695E15"/>
    <w:rsid w:val="006A4190"/>
    <w:rsid w:val="006B02CE"/>
    <w:rsid w:val="006C102E"/>
    <w:rsid w:val="006C5D89"/>
    <w:rsid w:val="006C7952"/>
    <w:rsid w:val="006D146E"/>
    <w:rsid w:val="006D58CB"/>
    <w:rsid w:val="006F41EB"/>
    <w:rsid w:val="00706760"/>
    <w:rsid w:val="00707F33"/>
    <w:rsid w:val="00711AAD"/>
    <w:rsid w:val="00715AC0"/>
    <w:rsid w:val="0073290A"/>
    <w:rsid w:val="00743177"/>
    <w:rsid w:val="00747916"/>
    <w:rsid w:val="00757D34"/>
    <w:rsid w:val="007732B3"/>
    <w:rsid w:val="0078033A"/>
    <w:rsid w:val="00795B2A"/>
    <w:rsid w:val="00797AFB"/>
    <w:rsid w:val="007E3609"/>
    <w:rsid w:val="007F6F8D"/>
    <w:rsid w:val="00810A45"/>
    <w:rsid w:val="008114D7"/>
    <w:rsid w:val="00817C1D"/>
    <w:rsid w:val="008214C0"/>
    <w:rsid w:val="00826B48"/>
    <w:rsid w:val="0083401D"/>
    <w:rsid w:val="0084459F"/>
    <w:rsid w:val="00857BC6"/>
    <w:rsid w:val="008617F6"/>
    <w:rsid w:val="0086713B"/>
    <w:rsid w:val="00911127"/>
    <w:rsid w:val="00913684"/>
    <w:rsid w:val="009256C8"/>
    <w:rsid w:val="009529F6"/>
    <w:rsid w:val="0095779D"/>
    <w:rsid w:val="00977A51"/>
    <w:rsid w:val="009C060E"/>
    <w:rsid w:val="009D7B1D"/>
    <w:rsid w:val="00A43F73"/>
    <w:rsid w:val="00AB5163"/>
    <w:rsid w:val="00AC4297"/>
    <w:rsid w:val="00AD4B40"/>
    <w:rsid w:val="00AF4AA1"/>
    <w:rsid w:val="00B25921"/>
    <w:rsid w:val="00B35D43"/>
    <w:rsid w:val="00B51568"/>
    <w:rsid w:val="00B565F5"/>
    <w:rsid w:val="00B77DB1"/>
    <w:rsid w:val="00B9285D"/>
    <w:rsid w:val="00B95B52"/>
    <w:rsid w:val="00BA16E9"/>
    <w:rsid w:val="00BB6CA5"/>
    <w:rsid w:val="00BB7FDB"/>
    <w:rsid w:val="00BD6899"/>
    <w:rsid w:val="00BF3FF3"/>
    <w:rsid w:val="00C15CFC"/>
    <w:rsid w:val="00C259FF"/>
    <w:rsid w:val="00C26A24"/>
    <w:rsid w:val="00C326FC"/>
    <w:rsid w:val="00C670D8"/>
    <w:rsid w:val="00C734DB"/>
    <w:rsid w:val="00C75568"/>
    <w:rsid w:val="00C82DBE"/>
    <w:rsid w:val="00C92601"/>
    <w:rsid w:val="00CA2418"/>
    <w:rsid w:val="00CA41AF"/>
    <w:rsid w:val="00CD45B2"/>
    <w:rsid w:val="00CF0932"/>
    <w:rsid w:val="00D271B4"/>
    <w:rsid w:val="00D419A6"/>
    <w:rsid w:val="00D62015"/>
    <w:rsid w:val="00D7586E"/>
    <w:rsid w:val="00D83FE6"/>
    <w:rsid w:val="00D863AE"/>
    <w:rsid w:val="00DB198F"/>
    <w:rsid w:val="00DB1DC3"/>
    <w:rsid w:val="00DD31AE"/>
    <w:rsid w:val="00DF1CB7"/>
    <w:rsid w:val="00E017BE"/>
    <w:rsid w:val="00E0227E"/>
    <w:rsid w:val="00E05D11"/>
    <w:rsid w:val="00E20D77"/>
    <w:rsid w:val="00E24485"/>
    <w:rsid w:val="00E24E4A"/>
    <w:rsid w:val="00E2644A"/>
    <w:rsid w:val="00E96F28"/>
    <w:rsid w:val="00EB5122"/>
    <w:rsid w:val="00EC6ACF"/>
    <w:rsid w:val="00EE2B35"/>
    <w:rsid w:val="00F163D1"/>
    <w:rsid w:val="00F35898"/>
    <w:rsid w:val="00F5767A"/>
    <w:rsid w:val="00F6372D"/>
    <w:rsid w:val="00F67800"/>
    <w:rsid w:val="00F8345D"/>
    <w:rsid w:val="00FB1D50"/>
    <w:rsid w:val="00FB3314"/>
    <w:rsid w:val="00FB427D"/>
    <w:rsid w:val="00FB613A"/>
    <w:rsid w:val="00FF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7C4D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D31AE"/>
    <w:rPr>
      <w:rFonts w:ascii="Arial" w:hAnsi="Arial"/>
    </w:rPr>
  </w:style>
  <w:style w:type="paragraph" w:styleId="Kop1">
    <w:name w:val="heading 1"/>
    <w:basedOn w:val="Standaard"/>
    <w:next w:val="Standaard"/>
    <w:link w:val="Kop1Char"/>
    <w:qFormat/>
    <w:rsid w:val="00DD31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87136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VinkjeAan">
    <w:name w:val="VinkjeAan"/>
    <w:basedOn w:val="Geenlijst"/>
    <w:rsid w:val="00977A51"/>
    <w:pPr>
      <w:numPr>
        <w:numId w:val="1"/>
      </w:numPr>
    </w:pPr>
  </w:style>
  <w:style w:type="numbering" w:customStyle="1" w:styleId="VinkjeUit">
    <w:name w:val="VinkjeUit"/>
    <w:basedOn w:val="Geenlijst"/>
    <w:rsid w:val="00977A51"/>
    <w:pPr>
      <w:numPr>
        <w:numId w:val="2"/>
      </w:numPr>
    </w:pPr>
  </w:style>
  <w:style w:type="character" w:customStyle="1" w:styleId="Kop1Char">
    <w:name w:val="Kop 1 Char"/>
    <w:basedOn w:val="Standaardalinea-lettertype"/>
    <w:link w:val="Kop1"/>
    <w:rsid w:val="00DD31AE"/>
    <w:rPr>
      <w:rFonts w:asciiTheme="majorHAnsi" w:eastAsiaTheme="majorEastAsia" w:hAnsiTheme="majorHAnsi" w:cstheme="majorBidi"/>
      <w:b/>
      <w:bCs/>
      <w:color w:val="871361" w:themeColor="accent1" w:themeShade="BF"/>
      <w:sz w:val="28"/>
      <w:szCs w:val="28"/>
    </w:rPr>
  </w:style>
  <w:style w:type="character" w:styleId="Nadruk">
    <w:name w:val="Emphasis"/>
    <w:basedOn w:val="Standaardalinea-lettertype"/>
    <w:qFormat/>
    <w:rsid w:val="00DD31AE"/>
    <w:rPr>
      <w:i/>
      <w:iCs/>
    </w:rPr>
  </w:style>
  <w:style w:type="paragraph" w:styleId="Titel">
    <w:name w:val="Title"/>
    <w:basedOn w:val="Standaard"/>
    <w:next w:val="Standaard"/>
    <w:link w:val="TitelChar"/>
    <w:qFormat/>
    <w:rsid w:val="00DD31AE"/>
    <w:pPr>
      <w:pBdr>
        <w:bottom w:val="single" w:sz="8" w:space="4" w:color="B51A82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rsid w:val="00DD31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qFormat/>
    <w:rsid w:val="00DD31AE"/>
    <w:pPr>
      <w:numPr>
        <w:ilvl w:val="1"/>
      </w:numPr>
    </w:pPr>
    <w:rPr>
      <w:rFonts w:asciiTheme="majorHAnsi" w:eastAsiaTheme="majorEastAsia" w:hAnsiTheme="majorHAnsi" w:cstheme="majorBidi"/>
      <w:i/>
      <w:iCs/>
      <w:color w:val="B51A82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rsid w:val="00DD31AE"/>
    <w:rPr>
      <w:rFonts w:asciiTheme="majorHAnsi" w:eastAsiaTheme="majorEastAsia" w:hAnsiTheme="majorHAnsi" w:cstheme="majorBidi"/>
      <w:i/>
      <w:iCs/>
      <w:color w:val="B51A82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DD31AE"/>
    <w:pPr>
      <w:ind w:left="720"/>
      <w:contextualSpacing/>
    </w:pPr>
  </w:style>
  <w:style w:type="paragraph" w:styleId="Ballontekst">
    <w:name w:val="Balloon Text"/>
    <w:basedOn w:val="Standaard"/>
    <w:link w:val="BallontekstChar"/>
    <w:rsid w:val="00470F9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70F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VinkjeAan">
    <w:name w:val="VinkjeAan"/>
    <w:pPr>
      <w:numPr>
        <w:numId w:val="1"/>
      </w:numPr>
    </w:pPr>
  </w:style>
  <w:style w:type="numbering" w:customStyle="1" w:styleId="VinkjeUit">
    <w:name w:val="VinkjeUi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7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Feiten en Cijfers 201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B51A82"/>
      </a:accent1>
      <a:accent2>
        <a:srgbClr val="008C96"/>
      </a:accent2>
      <a:accent3>
        <a:srgbClr val="F28A00"/>
      </a:accent3>
      <a:accent4>
        <a:srgbClr val="322564"/>
      </a:accent4>
      <a:accent5>
        <a:srgbClr val="AAAD19"/>
      </a:accent5>
      <a:accent6>
        <a:srgbClr val="B4292D"/>
      </a:accent6>
      <a:hlink>
        <a:srgbClr val="0000FF"/>
      </a:hlink>
      <a:folHlink>
        <a:srgbClr val="800080"/>
      </a:folHlink>
    </a:clrScheme>
    <a:fontScheme name="Kantoor - klassiek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Deventer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</dc:creator>
  <cp:lastModifiedBy>Stam, John</cp:lastModifiedBy>
  <cp:revision>2</cp:revision>
  <cp:lastPrinted>2013-12-11T14:30:00Z</cp:lastPrinted>
  <dcterms:created xsi:type="dcterms:W3CDTF">2017-05-31T14:42:00Z</dcterms:created>
  <dcterms:modified xsi:type="dcterms:W3CDTF">2017-05-31T14:42:00Z</dcterms:modified>
</cp:coreProperties>
</file>